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B63A" w14:textId="77777777" w:rsidR="00884CBE" w:rsidRPr="00AC3DEB" w:rsidRDefault="00AF63F3">
      <w:r w:rsidRPr="00AC3DEB">
        <w:t>L’Ambroisie est une plante exotique envahissante herbacée annuelle de 30 cm à 1 mètre de haut, originaire d’Amérique du nord.</w:t>
      </w:r>
    </w:p>
    <w:p w14:paraId="1D2E998D" w14:textId="77777777" w:rsidR="00AC3DEB" w:rsidRDefault="00AC3DEB" w:rsidP="00AC3DEB">
      <w:pPr>
        <w:jc w:val="center"/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5DADAE99" wp14:editId="6B100284">
            <wp:extent cx="5095875" cy="5715000"/>
            <wp:effectExtent l="0" t="0" r="9525" b="0"/>
            <wp:docPr id="2" name="Image 2" descr="RÃ©sultat de recherche d'images pour &quot;ambrois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mbroisi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7ED5" w14:textId="77777777" w:rsidR="00AF63F3" w:rsidRPr="00AC3DEB" w:rsidRDefault="00AF63F3">
      <w:r w:rsidRPr="00AC3DEB">
        <w:t>Très présente en Région Auvergne Rhône-Alpes on la retrouve maintenant sur l’ensemble du territoire français.</w:t>
      </w:r>
    </w:p>
    <w:p w14:paraId="769F653A" w14:textId="77777777" w:rsidR="00825046" w:rsidRPr="00AC3DEB" w:rsidRDefault="00825046" w:rsidP="00825046">
      <w:r w:rsidRPr="00AC3DEB">
        <w:t>Plante très invasive, elle se développe sur différents milieux : bords de voirie, terrains agricoles, chantiers….</w:t>
      </w:r>
    </w:p>
    <w:p w14:paraId="5BFB5695" w14:textId="77777777" w:rsidR="00B63BDA" w:rsidRDefault="00B63BDA" w:rsidP="00825046">
      <w:pPr>
        <w:rPr>
          <w:b/>
          <w:bCs/>
        </w:rPr>
      </w:pPr>
    </w:p>
    <w:p w14:paraId="54357D5A" w14:textId="77777777" w:rsidR="00B63BDA" w:rsidRDefault="00B63BDA" w:rsidP="00B63BDA">
      <w:pPr>
        <w:jc w:val="center"/>
        <w:rPr>
          <w:b/>
          <w:bCs/>
        </w:rPr>
      </w:pPr>
      <w:r>
        <w:rPr>
          <w:noProof/>
          <w:lang w:eastAsia="fr-FR"/>
        </w:rPr>
        <w:lastRenderedPageBreak/>
        <w:drawing>
          <wp:inline distT="0" distB="0" distL="0" distR="0" wp14:anchorId="603D611C" wp14:editId="2DC36363">
            <wp:extent cx="4017645" cy="31051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310" cy="31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BCC4" w14:textId="77777777" w:rsidR="00AF63F3" w:rsidRPr="00AC3DEB" w:rsidRDefault="00AF63F3">
      <w:r w:rsidRPr="00AC3DEB">
        <w:t>Son pollen, très allergisant est considéré maintenant par les autorités sanitaires comme un problème majeur de santé publique.</w:t>
      </w:r>
      <w:r w:rsidR="00825046" w:rsidRPr="00AC3DEB">
        <w:t xml:space="preserve"> Quelques grains de pollen par m3 d’air suffisent pour que des symptômes d’allergie apparaissent. (</w:t>
      </w:r>
      <w:r w:rsidR="00825046" w:rsidRPr="00AC3DEB">
        <w:rPr>
          <w:i/>
          <w:iCs/>
        </w:rPr>
        <w:t>Voir le tableau ci-joint pour visualiser les impacts</w:t>
      </w:r>
      <w:r w:rsidR="00825046" w:rsidRPr="00AC3DEB">
        <w:t xml:space="preserve"> sanitaires de cette plante)</w:t>
      </w:r>
    </w:p>
    <w:p w14:paraId="3A54613A" w14:textId="77777777" w:rsidR="006A31AF" w:rsidRDefault="006A31AF" w:rsidP="006A31AF">
      <w:pPr>
        <w:rPr>
          <w:b/>
          <w:bCs/>
        </w:rPr>
      </w:pPr>
      <w:proofErr w:type="gramStart"/>
      <w:r w:rsidRPr="006A31AF">
        <w:rPr>
          <w:b/>
          <w:bCs/>
        </w:rPr>
        <w:t>synthèse</w:t>
      </w:r>
      <w:proofErr w:type="gramEnd"/>
      <w:r w:rsidRPr="006A31AF">
        <w:rPr>
          <w:b/>
          <w:bCs/>
        </w:rPr>
        <w:t xml:space="preserve"> des données médico-économiques (2017)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2268"/>
        <w:gridCol w:w="2977"/>
        <w:gridCol w:w="1417"/>
      </w:tblGrid>
      <w:tr w:rsidR="00216D94" w14:paraId="1C252C7E" w14:textId="77777777" w:rsidTr="00216D94">
        <w:tc>
          <w:tcPr>
            <w:tcW w:w="1980" w:type="dxa"/>
            <w:tcBorders>
              <w:top w:val="nil"/>
              <w:left w:val="nil"/>
            </w:tcBorders>
          </w:tcPr>
          <w:p w14:paraId="5222C67C" w14:textId="77777777" w:rsidR="00216D94" w:rsidRDefault="00216D94" w:rsidP="006A31AF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B2569C7" w14:textId="77777777" w:rsidR="00216D94" w:rsidRDefault="00216D94" w:rsidP="006A31AF">
            <w:pPr>
              <w:rPr>
                <w:b/>
                <w:bCs/>
              </w:rPr>
            </w:pPr>
            <w:r>
              <w:rPr>
                <w:b/>
                <w:bCs/>
              </w:rPr>
              <w:t>Population des (6-74) ans selon RP 2014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557ABE6" w14:textId="77777777" w:rsidR="00216D94" w:rsidRDefault="00216D94" w:rsidP="00216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personnes</w:t>
            </w:r>
          </w:p>
          <w:p w14:paraId="0F6A374D" w14:textId="77777777" w:rsidR="00216D94" w:rsidRPr="00216D94" w:rsidRDefault="00216D94" w:rsidP="00216D94">
            <w:pPr>
              <w:jc w:val="center"/>
            </w:pPr>
            <w:r w:rsidRPr="00216D94">
              <w:t>Ayant consommé des soins remboursés en lien avec l’allergie à l’ambroisie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8D846E8" w14:textId="77777777" w:rsidR="00216D94" w:rsidRDefault="00216D94" w:rsidP="00216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Coût total estimé </w:t>
            </w:r>
            <w:r w:rsidRPr="00216D94">
              <w:t>de l’allergie liée à l’ambroisie (en euro)</w:t>
            </w:r>
          </w:p>
        </w:tc>
        <w:bookmarkStart w:id="0" w:name="_GoBack"/>
        <w:bookmarkEnd w:id="0"/>
      </w:tr>
      <w:tr w:rsidR="00216D94" w14:paraId="6FD2B0A7" w14:textId="77777777" w:rsidTr="00216D94">
        <w:tc>
          <w:tcPr>
            <w:tcW w:w="1980" w:type="dxa"/>
          </w:tcPr>
          <w:p w14:paraId="59289B23" w14:textId="77777777" w:rsidR="00216D94" w:rsidRDefault="00216D94" w:rsidP="006A31AF">
            <w:pPr>
              <w:rPr>
                <w:b/>
                <w:bCs/>
              </w:rPr>
            </w:pPr>
            <w:r>
              <w:rPr>
                <w:b/>
                <w:bCs/>
              </w:rPr>
              <w:t>Charlieu Belmont Communauté</w:t>
            </w:r>
          </w:p>
        </w:tc>
        <w:tc>
          <w:tcPr>
            <w:tcW w:w="2268" w:type="dxa"/>
          </w:tcPr>
          <w:p w14:paraId="05D484DB" w14:textId="77777777" w:rsidR="00216D94" w:rsidRDefault="00216D94" w:rsidP="006A3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19 292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4F971B1" w14:textId="77777777" w:rsidR="00216D94" w:rsidRPr="00216D94" w:rsidRDefault="00216D94" w:rsidP="006A31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6D94">
              <w:rPr>
                <w:b/>
                <w:bCs/>
                <w:sz w:val="28"/>
                <w:szCs w:val="28"/>
              </w:rPr>
              <w:t>1 526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08B6C9E" w14:textId="77777777" w:rsidR="00216D94" w:rsidRPr="00216D94" w:rsidRDefault="00216D94" w:rsidP="006A31AF">
            <w:pPr>
              <w:jc w:val="center"/>
              <w:rPr>
                <w:b/>
                <w:bCs/>
                <w:sz w:val="28"/>
                <w:szCs w:val="28"/>
              </w:rPr>
            </w:pPr>
            <w:r w:rsidRPr="00216D94">
              <w:rPr>
                <w:b/>
                <w:bCs/>
                <w:sz w:val="28"/>
                <w:szCs w:val="28"/>
              </w:rPr>
              <w:t>95 165</w:t>
            </w:r>
          </w:p>
        </w:tc>
      </w:tr>
      <w:tr w:rsidR="00216D94" w14:paraId="40911C4D" w14:textId="77777777" w:rsidTr="00216D94">
        <w:tc>
          <w:tcPr>
            <w:tcW w:w="1980" w:type="dxa"/>
          </w:tcPr>
          <w:p w14:paraId="00CFECE9" w14:textId="77777777" w:rsidR="00216D94" w:rsidRDefault="00216D94" w:rsidP="006A31AF">
            <w:pPr>
              <w:rPr>
                <w:b/>
                <w:bCs/>
              </w:rPr>
            </w:pPr>
            <w:r>
              <w:rPr>
                <w:b/>
                <w:bCs/>
              </w:rPr>
              <w:t>Département de la Loire</w:t>
            </w:r>
          </w:p>
        </w:tc>
        <w:tc>
          <w:tcPr>
            <w:tcW w:w="2268" w:type="dxa"/>
          </w:tcPr>
          <w:p w14:paraId="43C04C09" w14:textId="77777777" w:rsidR="00216D94" w:rsidRDefault="00216D94" w:rsidP="006A3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628 635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331C140" w14:textId="77777777" w:rsidR="00216D94" w:rsidRDefault="00216D94" w:rsidP="006A3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65 833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CF7A3B" w14:textId="77777777" w:rsidR="00216D94" w:rsidRDefault="00216D94" w:rsidP="006A3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4 060 660</w:t>
            </w:r>
          </w:p>
        </w:tc>
      </w:tr>
      <w:tr w:rsidR="00216D94" w14:paraId="1702AF90" w14:textId="77777777" w:rsidTr="00216D94">
        <w:tc>
          <w:tcPr>
            <w:tcW w:w="1980" w:type="dxa"/>
          </w:tcPr>
          <w:p w14:paraId="19F77AE9" w14:textId="77777777" w:rsidR="00216D94" w:rsidRDefault="00216D94" w:rsidP="006A31AF">
            <w:pPr>
              <w:rPr>
                <w:b/>
                <w:bCs/>
              </w:rPr>
            </w:pPr>
            <w:r>
              <w:rPr>
                <w:b/>
                <w:bCs/>
              </w:rPr>
              <w:t>Région Auvergne Rhône-Alpes</w:t>
            </w:r>
          </w:p>
        </w:tc>
        <w:tc>
          <w:tcPr>
            <w:tcW w:w="2268" w:type="dxa"/>
          </w:tcPr>
          <w:p w14:paraId="4632F451" w14:textId="77777777" w:rsidR="00216D94" w:rsidRDefault="00216D94" w:rsidP="006A3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6 529 656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BD39FB1" w14:textId="77777777" w:rsidR="00216D94" w:rsidRDefault="00216D94" w:rsidP="006A3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659 487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0A22217" w14:textId="77777777" w:rsidR="00216D94" w:rsidRDefault="00216D94" w:rsidP="006A3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40 643 890</w:t>
            </w:r>
          </w:p>
        </w:tc>
      </w:tr>
    </w:tbl>
    <w:p w14:paraId="5D15EDAB" w14:textId="77777777" w:rsidR="00825046" w:rsidRPr="00216D94" w:rsidRDefault="006A31AF" w:rsidP="006A31AF">
      <w:pPr>
        <w:rPr>
          <w:b/>
          <w:bCs/>
        </w:rPr>
      </w:pPr>
      <w:r w:rsidRPr="006A31AF">
        <w:rPr>
          <w:b/>
          <w:bCs/>
        </w:rPr>
        <w:t xml:space="preserve"> </w:t>
      </w:r>
      <w:r w:rsidRPr="006A31AF">
        <w:rPr>
          <w:i/>
          <w:iCs/>
        </w:rPr>
        <w:t xml:space="preserve">Source : </w:t>
      </w:r>
      <w:proofErr w:type="spellStart"/>
      <w:r w:rsidRPr="006A31AF">
        <w:rPr>
          <w:i/>
          <w:iCs/>
        </w:rPr>
        <w:t>CnamTS</w:t>
      </w:r>
      <w:proofErr w:type="spellEnd"/>
      <w:r w:rsidRPr="006A31AF">
        <w:rPr>
          <w:i/>
          <w:iCs/>
        </w:rPr>
        <w:t>, CCMSA, RSI, Régimes Spéciaux (DCIRS-2017), Insee RP 2012 et 2014. Exploitation ORS Auvergne-Rhône-Alpes ; exploitation par EPCI : ARS-DD42.</w:t>
      </w:r>
    </w:p>
    <w:p w14:paraId="2D4BA877" w14:textId="77777777" w:rsidR="00884CBE" w:rsidRDefault="00884CBE"/>
    <w:p w14:paraId="4A8AB3EC" w14:textId="77777777" w:rsidR="00825046" w:rsidRPr="00B63BDA" w:rsidRDefault="00825046" w:rsidP="00825046">
      <w:pPr>
        <w:rPr>
          <w:b/>
          <w:bCs/>
        </w:rPr>
      </w:pPr>
      <w:r w:rsidRPr="00B63BDA">
        <w:rPr>
          <w:b/>
          <w:bCs/>
        </w:rPr>
        <w:t xml:space="preserve">Une lutte obligatoire </w:t>
      </w:r>
    </w:p>
    <w:p w14:paraId="462544A4" w14:textId="77777777" w:rsidR="00B63BDA" w:rsidRDefault="00825046" w:rsidP="00825046">
      <w:r>
        <w:t xml:space="preserve">Le décret n° 2017-645 du 26 avril 2017 définit que : </w:t>
      </w:r>
    </w:p>
    <w:p w14:paraId="1EC7349A" w14:textId="77777777" w:rsidR="00B63BDA" w:rsidRDefault="00825046" w:rsidP="00825046">
      <w:r>
        <w:t xml:space="preserve">- Des mesures sont susceptibles d’être prises pour prévenir l’apparition ou lutter contre la prolifération des ambroisies : surveillance, actions de prévention, gestion et entretien des espaces, destruction des spécimens, information du public, diffusion des connaissances etc. ; </w:t>
      </w:r>
    </w:p>
    <w:p w14:paraId="5B39B66F" w14:textId="146ABFDA" w:rsidR="00825046" w:rsidRDefault="00825046" w:rsidP="00825046">
      <w:r>
        <w:t xml:space="preserve">- Le préfet de département détermine par arrêté les modalités d’application des mesures contre les ambroisies prévues par la loi. Dans </w:t>
      </w:r>
      <w:r w:rsidR="00B63BDA">
        <w:t>le département</w:t>
      </w:r>
      <w:r>
        <w:t xml:space="preserve"> de la</w:t>
      </w:r>
      <w:r w:rsidR="00B63BDA">
        <w:t xml:space="preserve"> Loire comme dans les autres de la</w:t>
      </w:r>
      <w:r>
        <w:t xml:space="preserve"> région Auvergne-Rhône-Alpes, des arrêtés préfectoraux sont valid</w:t>
      </w:r>
      <w:r w:rsidR="00B63BDA">
        <w:t>és</w:t>
      </w:r>
      <w:r>
        <w:t>. Ils préciseront les actions à mettre en œuvre pour lutter contre l’ambroisie.</w:t>
      </w:r>
    </w:p>
    <w:p w14:paraId="5E4ECFE8" w14:textId="7F47207E" w:rsidR="00B81B0B" w:rsidRDefault="00B81B0B" w:rsidP="00825046">
      <w:r>
        <w:t xml:space="preserve">Pour aller plus loin : </w:t>
      </w:r>
    </w:p>
    <w:p w14:paraId="23AC785A" w14:textId="77777777" w:rsidR="00B81B0B" w:rsidRDefault="00B81B0B" w:rsidP="00825046">
      <w:r w:rsidRPr="00B81B0B">
        <w:t>Tout le monde peut donc participer à la lutte en signalant toute présence d'ambroisie aux autorités locales, par quatre canaux différents, disponibles sur</w:t>
      </w:r>
      <w:r>
        <w:t> :</w:t>
      </w:r>
    </w:p>
    <w:p w14:paraId="40AF8C65" w14:textId="3FC1C60D" w:rsidR="00B81B0B" w:rsidRDefault="00B81B0B" w:rsidP="00825046">
      <w:r>
        <w:t>*</w:t>
      </w:r>
      <w:r w:rsidRPr="00B81B0B">
        <w:t xml:space="preserve">Par téléphone </w:t>
      </w:r>
      <w:r w:rsidRPr="00B81B0B">
        <w:rPr>
          <w:b/>
          <w:bCs/>
        </w:rPr>
        <w:t>0 972 376 888</w:t>
      </w:r>
      <w:r w:rsidRPr="00B81B0B">
        <w:t xml:space="preserve"> </w:t>
      </w:r>
    </w:p>
    <w:p w14:paraId="16D062B8" w14:textId="6AAE05CB" w:rsidR="00B81B0B" w:rsidRDefault="00B81B0B" w:rsidP="00825046">
      <w:r>
        <w:t>*</w:t>
      </w:r>
      <w:r w:rsidRPr="00B81B0B">
        <w:t xml:space="preserve">Par mail </w:t>
      </w:r>
      <w:hyperlink r:id="rId7" w:history="1">
        <w:r w:rsidRPr="00675587">
          <w:rPr>
            <w:rStyle w:val="Lienhypertexte"/>
          </w:rPr>
          <w:t>contact@signalement-ambroisie.fr</w:t>
        </w:r>
      </w:hyperlink>
      <w:r w:rsidRPr="00B81B0B">
        <w:t xml:space="preserve"> </w:t>
      </w:r>
    </w:p>
    <w:p w14:paraId="3347D549" w14:textId="7C2DE02F" w:rsidR="00B81B0B" w:rsidRDefault="00B81B0B" w:rsidP="00825046">
      <w:r>
        <w:t>*</w:t>
      </w:r>
      <w:r w:rsidRPr="00B81B0B">
        <w:t xml:space="preserve">Sur un site internet </w:t>
      </w:r>
      <w:hyperlink r:id="rId8" w:history="1">
        <w:r w:rsidRPr="00675587">
          <w:rPr>
            <w:rStyle w:val="Lienhypertexte"/>
          </w:rPr>
          <w:t>www.signalement-ambroisie.fr</w:t>
        </w:r>
      </w:hyperlink>
    </w:p>
    <w:p w14:paraId="66B66ECB" w14:textId="3585A125" w:rsidR="00B81B0B" w:rsidRDefault="00B81B0B" w:rsidP="00825046">
      <w:r>
        <w:t>*</w:t>
      </w:r>
      <w:r w:rsidRPr="00B81B0B">
        <w:t>Sur une application Smartphone « Signalement-Ambroisie »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283E4D4" wp14:editId="78EE716E">
            <wp:extent cx="580952" cy="590476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ACE5" w14:textId="77777777" w:rsidR="00825046" w:rsidRDefault="00825046"/>
    <w:sectPr w:rsidR="0082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BE"/>
    <w:rsid w:val="00043B98"/>
    <w:rsid w:val="000B00AF"/>
    <w:rsid w:val="00216D94"/>
    <w:rsid w:val="006A31AF"/>
    <w:rsid w:val="00825046"/>
    <w:rsid w:val="00884CBE"/>
    <w:rsid w:val="00AC3DEB"/>
    <w:rsid w:val="00AF63F3"/>
    <w:rsid w:val="00B63BDA"/>
    <w:rsid w:val="00B81B0B"/>
    <w:rsid w:val="00C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B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1B0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1B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81B0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1B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ement-ambrois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signalement-ambroisi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jarnossin</dc:creator>
  <cp:keywords/>
  <dc:description/>
  <cp:lastModifiedBy>utilisateur</cp:lastModifiedBy>
  <cp:revision>3</cp:revision>
  <dcterms:created xsi:type="dcterms:W3CDTF">2019-09-05T12:53:00Z</dcterms:created>
  <dcterms:modified xsi:type="dcterms:W3CDTF">2022-08-26T12:21:00Z</dcterms:modified>
</cp:coreProperties>
</file>